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page" w:tblpXSpec="center" w:tblpY="1923"/>
        <w:tblOverlap w:val="never"/>
        <w:tblW w:w="9755" w:type="dxa"/>
        <w:jc w:val="center"/>
        <w:tblLook w:val="04A0" w:firstRow="1" w:lastRow="0" w:firstColumn="1" w:lastColumn="0" w:noHBand="0" w:noVBand="1"/>
      </w:tblPr>
      <w:tblGrid>
        <w:gridCol w:w="2051"/>
        <w:gridCol w:w="1830"/>
        <w:gridCol w:w="996"/>
        <w:gridCol w:w="729"/>
        <w:gridCol w:w="2235"/>
        <w:gridCol w:w="1914"/>
      </w:tblGrid>
      <w:tr w:rsidR="00B41424">
        <w:trPr>
          <w:trHeight w:val="514"/>
          <w:jc w:val="center"/>
        </w:trPr>
        <w:tc>
          <w:tcPr>
            <w:tcW w:w="2051" w:type="dxa"/>
            <w:vAlign w:val="center"/>
          </w:tcPr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项目名称</w:t>
            </w:r>
          </w:p>
        </w:tc>
        <w:tc>
          <w:tcPr>
            <w:tcW w:w="7704" w:type="dxa"/>
            <w:gridSpan w:val="5"/>
            <w:vAlign w:val="center"/>
          </w:tcPr>
          <w:p w:rsidR="00B41424" w:rsidRDefault="0066736E">
            <w:pPr>
              <w:tabs>
                <w:tab w:val="left" w:pos="904"/>
              </w:tabs>
              <w:adjustRightInd w:val="0"/>
              <w:snapToGrid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ab/>
            </w:r>
          </w:p>
        </w:tc>
      </w:tr>
      <w:tr w:rsidR="00B41424">
        <w:trPr>
          <w:trHeight w:val="532"/>
          <w:jc w:val="center"/>
        </w:trPr>
        <w:tc>
          <w:tcPr>
            <w:tcW w:w="2051" w:type="dxa"/>
            <w:vAlign w:val="center"/>
          </w:tcPr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项目申请单位</w:t>
            </w:r>
          </w:p>
        </w:tc>
        <w:tc>
          <w:tcPr>
            <w:tcW w:w="3555" w:type="dxa"/>
            <w:gridSpan w:val="3"/>
            <w:vAlign w:val="center"/>
          </w:tcPr>
          <w:p w:rsidR="00B41424" w:rsidRDefault="00B41424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235" w:type="dxa"/>
            <w:vAlign w:val="center"/>
          </w:tcPr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预算金额（万元）</w:t>
            </w:r>
          </w:p>
        </w:tc>
        <w:tc>
          <w:tcPr>
            <w:tcW w:w="1914" w:type="dxa"/>
            <w:vAlign w:val="center"/>
          </w:tcPr>
          <w:p w:rsidR="00B41424" w:rsidRDefault="00B41424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</w:tr>
      <w:tr w:rsidR="00B41424">
        <w:trPr>
          <w:trHeight w:val="624"/>
          <w:jc w:val="center"/>
        </w:trPr>
        <w:tc>
          <w:tcPr>
            <w:tcW w:w="2051" w:type="dxa"/>
            <w:vAlign w:val="center"/>
          </w:tcPr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项目负责人</w:t>
            </w:r>
          </w:p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</w:t>
            </w:r>
            <w:r>
              <w:rPr>
                <w:rFonts w:hint="eastAsia"/>
                <w:b/>
                <w:bCs/>
                <w:snapToGrid w:val="0"/>
                <w:kern w:val="0"/>
              </w:rPr>
              <w:t>签字申请</w:t>
            </w:r>
            <w:r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7704" w:type="dxa"/>
            <w:gridSpan w:val="5"/>
            <w:vAlign w:val="center"/>
          </w:tcPr>
          <w:p w:rsidR="00B41424" w:rsidRDefault="00B41424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</w:tr>
      <w:tr w:rsidR="00B41424">
        <w:trPr>
          <w:trHeight w:val="2863"/>
          <w:jc w:val="center"/>
        </w:trPr>
        <w:tc>
          <w:tcPr>
            <w:tcW w:w="2051" w:type="dxa"/>
            <w:vMerge w:val="restart"/>
            <w:tcBorders>
              <w:right w:val="single" w:sz="4" w:space="0" w:color="auto"/>
            </w:tcBorders>
          </w:tcPr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jc w:val="center"/>
              <w:rPr>
                <w:kern w:val="0"/>
              </w:rPr>
            </w:pPr>
          </w:p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kern w:val="0"/>
              </w:rPr>
              <w:t>申请的非招标方式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/>
                <w:b/>
                <w:bCs/>
                <w:snapToGrid w:val="0"/>
                <w:kern w:val="0"/>
                <w:sz w:val="24"/>
                <w:szCs w:val="28"/>
              </w:rPr>
              <w:t>谈判</w:t>
            </w:r>
          </w:p>
        </w:tc>
        <w:tc>
          <w:tcPr>
            <w:tcW w:w="5874" w:type="dxa"/>
            <w:gridSpan w:val="4"/>
            <w:tcBorders>
              <w:top w:val="single" w:sz="4" w:space="0" w:color="auto"/>
            </w:tcBorders>
            <w:vAlign w:val="center"/>
          </w:tcPr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="宋体" w:eastAsia="宋体" w:hAnsi="宋体"/>
                <w:kern w:val="0"/>
              </w:rPr>
            </w:pPr>
            <w:r>
              <w:rPr>
                <w:rFonts w:ascii="宋体" w:eastAsia="宋体" w:hAnsi="宋体" w:hint="eastAsia"/>
                <w:kern w:val="0"/>
              </w:rPr>
              <w:t>符合下列条件之一的，可采用谈判方式采购，</w:t>
            </w:r>
            <w:proofErr w:type="gramStart"/>
            <w:r>
              <w:rPr>
                <w:rFonts w:ascii="宋体" w:eastAsia="宋体" w:hAnsi="宋体" w:hint="eastAsia"/>
                <w:kern w:val="0"/>
              </w:rPr>
              <w:t>请项目</w:t>
            </w:r>
            <w:proofErr w:type="gramEnd"/>
            <w:r>
              <w:rPr>
                <w:rFonts w:ascii="宋体" w:eastAsia="宋体" w:hAnsi="宋体" w:hint="eastAsia"/>
                <w:kern w:val="0"/>
              </w:rPr>
              <w:t>负责人据实勾选：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kern w:val="0"/>
              </w:rPr>
              <w:t>技术要求复杂或性质特殊，不能确定详细规格或具体要求的，或有特殊专业要求的</w:t>
            </w:r>
            <w:r>
              <w:rPr>
                <w:rFonts w:hint="eastAsia"/>
                <w:kern w:val="0"/>
              </w:rPr>
              <w:t>；</w:t>
            </w:r>
            <w:r>
              <w:rPr>
                <w:rFonts w:asciiTheme="minorEastAsia" w:hAnsiTheme="minorEastAsia" w:hint="eastAsia"/>
                <w:snapToGrid w:val="0"/>
                <w:kern w:val="0"/>
              </w:rPr>
              <w:t xml:space="preserve"> 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kern w:val="0"/>
              </w:rPr>
              <w:t>不能事先计算出价格总额的</w:t>
            </w:r>
            <w:r>
              <w:rPr>
                <w:rFonts w:asciiTheme="minorEastAsia" w:hAnsiTheme="minorEastAsia" w:hint="eastAsia"/>
                <w:snapToGrid w:val="0"/>
                <w:kern w:val="0"/>
              </w:rPr>
              <w:t>；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kern w:val="0"/>
              </w:rPr>
              <w:t>只能从有限范围内的供应商中采购的</w:t>
            </w:r>
            <w:r>
              <w:rPr>
                <w:rFonts w:hint="eastAsia"/>
                <w:kern w:val="0"/>
              </w:rPr>
              <w:t>；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kern w:val="0"/>
              </w:rPr>
              <w:t>采用招标方式采购未能成立的</w:t>
            </w:r>
            <w:r>
              <w:rPr>
                <w:rFonts w:hint="eastAsia"/>
                <w:kern w:val="0"/>
              </w:rPr>
              <w:t>；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kern w:val="0"/>
              </w:rPr>
              <w:t>采用招标采购所需时间不能满足用户紧急需要的；或者招标采购所需费用和时间与项目价值不匹配，不符合经济合理性要求的</w:t>
            </w:r>
            <w:r>
              <w:rPr>
                <w:rFonts w:hint="eastAsia"/>
                <w:kern w:val="0"/>
              </w:rPr>
              <w:t>。</w:t>
            </w:r>
          </w:p>
        </w:tc>
      </w:tr>
      <w:tr w:rsidR="00B41424">
        <w:trPr>
          <w:trHeight w:val="2393"/>
          <w:jc w:val="center"/>
        </w:trPr>
        <w:tc>
          <w:tcPr>
            <w:tcW w:w="2051" w:type="dxa"/>
            <w:vMerge/>
            <w:tcBorders>
              <w:right w:val="single" w:sz="4" w:space="0" w:color="auto"/>
            </w:tcBorders>
          </w:tcPr>
          <w:p w:rsidR="00B41424" w:rsidRDefault="00B41424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B41424" w:rsidRDefault="0066736E">
            <w:pPr>
              <w:adjustRightInd w:val="0"/>
              <w:snapToGrid w:val="0"/>
              <w:jc w:val="center"/>
              <w:rPr>
                <w:b/>
                <w:bCs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snapToGrid w:val="0"/>
                <w:kern w:val="0"/>
                <w:sz w:val="24"/>
                <w:szCs w:val="28"/>
              </w:rPr>
              <w:sym w:font="Wingdings" w:char="00A8"/>
            </w:r>
            <w:r>
              <w:rPr>
                <w:rFonts w:hint="eastAsia"/>
                <w:b/>
                <w:bCs/>
                <w:snapToGrid w:val="0"/>
                <w:kern w:val="0"/>
                <w:sz w:val="24"/>
                <w:szCs w:val="28"/>
              </w:rPr>
              <w:t>单一来源</w:t>
            </w:r>
          </w:p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（须附论证报告）</w:t>
            </w:r>
          </w:p>
        </w:tc>
        <w:tc>
          <w:tcPr>
            <w:tcW w:w="5874" w:type="dxa"/>
            <w:gridSpan w:val="4"/>
            <w:vAlign w:val="center"/>
          </w:tcPr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Theme="minorEastAsia" w:hAnsiTheme="minorEastAsia"/>
                <w:snapToGrid w:val="0"/>
                <w:kern w:val="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</w:rPr>
              <w:t>符合下列条件之一的，可采用单一来源采购的方式，</w:t>
            </w:r>
            <w:proofErr w:type="gramStart"/>
            <w:r>
              <w:rPr>
                <w:rFonts w:asciiTheme="minorEastAsia" w:hAnsiTheme="minorEastAsia" w:hint="eastAsia"/>
                <w:snapToGrid w:val="0"/>
                <w:kern w:val="0"/>
              </w:rPr>
              <w:t>请项目</w:t>
            </w:r>
            <w:proofErr w:type="gramEnd"/>
            <w:r>
              <w:rPr>
                <w:rFonts w:asciiTheme="minorEastAsia" w:hAnsiTheme="minorEastAsia" w:hint="eastAsia"/>
                <w:snapToGrid w:val="0"/>
                <w:kern w:val="0"/>
              </w:rPr>
              <w:t>负责人据实勾选：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snapToGrid w:val="0"/>
                <w:kern w:val="0"/>
              </w:rPr>
              <w:t>只能从唯一供应商处采购的</w:t>
            </w:r>
            <w:r>
              <w:rPr>
                <w:rFonts w:hint="eastAsia"/>
                <w:snapToGrid w:val="0"/>
                <w:kern w:val="0"/>
              </w:rPr>
              <w:t>；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snapToGrid w:val="0"/>
                <w:kern w:val="0"/>
              </w:rPr>
              <w:t>发生了不可预见的紧急情况不能从其他供应商处采购的</w:t>
            </w:r>
            <w:r>
              <w:rPr>
                <w:rFonts w:hint="eastAsia"/>
                <w:snapToGrid w:val="0"/>
                <w:kern w:val="0"/>
              </w:rPr>
              <w:t>；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sym w:font="Wingdings" w:char="00A8"/>
            </w:r>
            <w:r>
              <w:rPr>
                <w:rFonts w:hint="eastAsia"/>
                <w:snapToGrid w:val="0"/>
                <w:kern w:val="0"/>
              </w:rPr>
              <w:t>必须保证原有采购项目一致性或者服务配套的要求，需要继续从原供应商处添购，且添购资金总额不超过原合同采购金额百分之十的</w:t>
            </w:r>
            <w:r>
              <w:rPr>
                <w:rFonts w:hint="eastAsia"/>
                <w:snapToGrid w:val="0"/>
                <w:kern w:val="0"/>
              </w:rPr>
              <w:t>。</w:t>
            </w:r>
          </w:p>
        </w:tc>
      </w:tr>
      <w:tr w:rsidR="00B41424">
        <w:trPr>
          <w:trHeight w:val="2321"/>
          <w:jc w:val="center"/>
        </w:trPr>
        <w:tc>
          <w:tcPr>
            <w:tcW w:w="4877" w:type="dxa"/>
            <w:gridSpan w:val="3"/>
          </w:tcPr>
          <w:p w:rsidR="00B41424" w:rsidRDefault="0066736E">
            <w:pPr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项目申请单位（二级）负责人同意后签字</w:t>
            </w:r>
            <w:r>
              <w:rPr>
                <w:rFonts w:hint="eastAsia"/>
                <w:snapToGrid w:val="0"/>
                <w:kern w:val="0"/>
              </w:rPr>
              <w:t>：</w:t>
            </w: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66736E">
            <w:pPr>
              <w:adjustRightInd w:val="0"/>
              <w:snapToGrid w:val="0"/>
              <w:ind w:firstLineChars="1300" w:firstLine="273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单位盖章：</w:t>
            </w: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66736E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 xml:space="preserve">    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 xml:space="preserve">  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4878" w:type="dxa"/>
            <w:gridSpan w:val="3"/>
          </w:tcPr>
          <w:p w:rsidR="00B41424" w:rsidRDefault="0066736E">
            <w:pPr>
              <w:adjustRightInd w:val="0"/>
              <w:snapToGrid w:val="0"/>
              <w:rPr>
                <w:snapToGrid w:val="0"/>
                <w:kern w:val="0"/>
              </w:rPr>
            </w:pPr>
            <w:r>
              <w:rPr>
                <w:rFonts w:hint="eastAsia"/>
                <w:b/>
                <w:bCs/>
                <w:snapToGrid w:val="0"/>
                <w:kern w:val="0"/>
              </w:rPr>
              <w:t>主管部门负责人同意后签字：</w:t>
            </w: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66736E">
            <w:pPr>
              <w:adjustRightInd w:val="0"/>
              <w:snapToGrid w:val="0"/>
              <w:ind w:firstLineChars="1300" w:firstLine="273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单位盖章：</w:t>
            </w:r>
          </w:p>
          <w:p w:rsidR="00B41424" w:rsidRDefault="00B41424">
            <w:pPr>
              <w:adjustRightInd w:val="0"/>
              <w:snapToGrid w:val="0"/>
              <w:rPr>
                <w:snapToGrid w:val="0"/>
                <w:kern w:val="0"/>
              </w:rPr>
            </w:pPr>
          </w:p>
          <w:p w:rsidR="00B41424" w:rsidRDefault="0066736E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</w:t>
            </w:r>
            <w:r>
              <w:rPr>
                <w:rFonts w:hint="eastAsia"/>
                <w:snapToGrid w:val="0"/>
                <w:kern w:val="0"/>
              </w:rPr>
              <w:t xml:space="preserve">    </w:t>
            </w:r>
            <w:r>
              <w:rPr>
                <w:rFonts w:hint="eastAsia"/>
                <w:snapToGrid w:val="0"/>
                <w:kern w:val="0"/>
              </w:rPr>
              <w:t>月</w:t>
            </w:r>
            <w:r>
              <w:rPr>
                <w:rFonts w:hint="eastAsia"/>
                <w:snapToGrid w:val="0"/>
                <w:kern w:val="0"/>
              </w:rPr>
              <w:t xml:space="preserve">    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</w:tr>
      <w:tr w:rsidR="00B41424">
        <w:trPr>
          <w:trHeight w:val="2751"/>
          <w:jc w:val="center"/>
        </w:trPr>
        <w:tc>
          <w:tcPr>
            <w:tcW w:w="2051" w:type="dxa"/>
            <w:vAlign w:val="center"/>
          </w:tcPr>
          <w:p w:rsidR="00B41424" w:rsidRDefault="0066736E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注意事项</w:t>
            </w:r>
          </w:p>
        </w:tc>
        <w:tc>
          <w:tcPr>
            <w:tcW w:w="7704" w:type="dxa"/>
            <w:gridSpan w:val="5"/>
            <w:vAlign w:val="center"/>
          </w:tcPr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snapToGrid w:val="0"/>
                <w:kern w:val="0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</w:rPr>
              <w:t>1.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>《南开大学招标采购管理办法》（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kern w:val="0"/>
              </w:rPr>
              <w:t>南党发</w:t>
            </w:r>
            <w:proofErr w:type="gramEnd"/>
            <w:r>
              <w:rPr>
                <w:rFonts w:ascii="宋体" w:eastAsia="宋体" w:hAnsi="宋体" w:cs="宋体" w:hint="eastAsia"/>
                <w:snapToGrid w:val="0"/>
                <w:kern w:val="0"/>
              </w:rPr>
              <w:t>﹝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>2019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>﹞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>46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>号）第十六条规定：“由学校组织自行采购的项目，凡采购预算达到学校规定的采购限额标准的，应当适用本办法进行招标采购”，第二十条规定：“凡符合本办法第十六条规定的采购项目，一般应采用招标方式采购”，第二十三条规定：“凡采用谈判采购、单一来源采购方式的，由项目单位根据相关程序提出申请，经归口业务主管部门审查并提出意见，并由招投标管理办公室审定后，方可实施”。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snapToGrid w:val="0"/>
                <w:kern w:val="0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</w:rPr>
              <w:t>2.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>项目负责人应按照审慎原则据实勾选，并对勾选事项的真实性负责。</w:t>
            </w:r>
          </w:p>
          <w:p w:rsidR="00B41424" w:rsidRDefault="0066736E">
            <w:pPr>
              <w:adjustRightInd w:val="0"/>
              <w:snapToGrid w:val="0"/>
              <w:ind w:firstLineChars="200" w:firstLine="420"/>
              <w:rPr>
                <w:rFonts w:ascii="宋体" w:eastAsia="宋体" w:hAnsi="宋体" w:cs="宋体"/>
                <w:snapToGrid w:val="0"/>
                <w:kern w:val="0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</w:rPr>
              <w:t>3.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>如需详细了解有关政策，可通过学校办公网查阅《南开大学招标采购管理办法》《南开大学招标采购管理办法实施细则》等相关文件内容。</w:t>
            </w:r>
            <w:r>
              <w:rPr>
                <w:rFonts w:ascii="宋体" w:eastAsia="宋体" w:hAnsi="宋体" w:cs="宋体" w:hint="eastAsia"/>
                <w:snapToGrid w:val="0"/>
                <w:kern w:val="0"/>
              </w:rPr>
              <w:t xml:space="preserve"> </w:t>
            </w:r>
          </w:p>
        </w:tc>
      </w:tr>
    </w:tbl>
    <w:p w:rsidR="00B41424" w:rsidRDefault="0066736E">
      <w:pPr>
        <w:jc w:val="center"/>
        <w:rPr>
          <w:szCs w:val="21"/>
        </w:rPr>
      </w:pPr>
      <w:r>
        <w:rPr>
          <w:rFonts w:hint="eastAsia"/>
          <w:b/>
          <w:kern w:val="0"/>
          <w:sz w:val="32"/>
          <w:szCs w:val="32"/>
        </w:rPr>
        <w:t>采购招标项目非招标方式申请表</w:t>
      </w:r>
      <w:r>
        <w:rPr>
          <w:rFonts w:hint="eastAsia"/>
          <w:b/>
          <w:kern w:val="0"/>
          <w:sz w:val="32"/>
          <w:szCs w:val="32"/>
        </w:rPr>
        <w:t>（</w:t>
      </w:r>
      <w:r>
        <w:rPr>
          <w:rFonts w:hint="eastAsia"/>
          <w:b/>
          <w:kern w:val="0"/>
          <w:sz w:val="32"/>
          <w:szCs w:val="32"/>
        </w:rPr>
        <w:t>校内自采</w:t>
      </w:r>
      <w:r>
        <w:rPr>
          <w:rFonts w:hint="eastAsia"/>
          <w:b/>
          <w:kern w:val="0"/>
          <w:sz w:val="32"/>
          <w:szCs w:val="32"/>
        </w:rPr>
        <w:t>）</w:t>
      </w:r>
      <w:bookmarkStart w:id="0" w:name="_GoBack"/>
      <w:bookmarkEnd w:id="0"/>
    </w:p>
    <w:sectPr w:rsidR="00B41424" w:rsidSect="000A0EA1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6E" w:rsidRDefault="0066736E">
      <w:r>
        <w:separator/>
      </w:r>
    </w:p>
  </w:endnote>
  <w:endnote w:type="continuationSeparator" w:id="0">
    <w:p w:rsidR="0066736E" w:rsidRDefault="006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24" w:rsidRDefault="0066736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025A3" wp14:editId="15F0C9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1424" w:rsidRDefault="0066736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0E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PiR45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41424" w:rsidRDefault="0066736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0E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6E" w:rsidRDefault="0066736E">
      <w:r>
        <w:separator/>
      </w:r>
    </w:p>
  </w:footnote>
  <w:footnote w:type="continuationSeparator" w:id="0">
    <w:p w:rsidR="0066736E" w:rsidRDefault="0066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24" w:rsidRDefault="00B41424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34D81366"/>
    <w:rsid w:val="000A0EA1"/>
    <w:rsid w:val="0066736E"/>
    <w:rsid w:val="00B41424"/>
    <w:rsid w:val="0150120C"/>
    <w:rsid w:val="01E53B16"/>
    <w:rsid w:val="02850315"/>
    <w:rsid w:val="02873BB9"/>
    <w:rsid w:val="02E8415E"/>
    <w:rsid w:val="04C2712A"/>
    <w:rsid w:val="061B2F96"/>
    <w:rsid w:val="08894C98"/>
    <w:rsid w:val="08AA0601"/>
    <w:rsid w:val="0A221EE6"/>
    <w:rsid w:val="0AA7304A"/>
    <w:rsid w:val="0AAC68B2"/>
    <w:rsid w:val="0D2C78B0"/>
    <w:rsid w:val="0D3F57BC"/>
    <w:rsid w:val="0E1327A4"/>
    <w:rsid w:val="0E3D7000"/>
    <w:rsid w:val="0E993B76"/>
    <w:rsid w:val="0EE7435D"/>
    <w:rsid w:val="0F130CAE"/>
    <w:rsid w:val="108A31F2"/>
    <w:rsid w:val="10C304B2"/>
    <w:rsid w:val="11DD37F5"/>
    <w:rsid w:val="1202325C"/>
    <w:rsid w:val="124473D0"/>
    <w:rsid w:val="127B4651"/>
    <w:rsid w:val="135C48CC"/>
    <w:rsid w:val="13655D4D"/>
    <w:rsid w:val="13B51E7B"/>
    <w:rsid w:val="141F4151"/>
    <w:rsid w:val="1444190A"/>
    <w:rsid w:val="147068D6"/>
    <w:rsid w:val="14F12717"/>
    <w:rsid w:val="15520056"/>
    <w:rsid w:val="158F4E06"/>
    <w:rsid w:val="15B13EC8"/>
    <w:rsid w:val="18A706B9"/>
    <w:rsid w:val="18C1177B"/>
    <w:rsid w:val="18ED6A14"/>
    <w:rsid w:val="193957B5"/>
    <w:rsid w:val="1A9C5527"/>
    <w:rsid w:val="1ABB1D85"/>
    <w:rsid w:val="1ACC3952"/>
    <w:rsid w:val="1AE856E5"/>
    <w:rsid w:val="1B067919"/>
    <w:rsid w:val="1C385C50"/>
    <w:rsid w:val="1C411778"/>
    <w:rsid w:val="1CDD6D9F"/>
    <w:rsid w:val="1D5801D4"/>
    <w:rsid w:val="1D5F77B4"/>
    <w:rsid w:val="1EB06E4A"/>
    <w:rsid w:val="1F044E00"/>
    <w:rsid w:val="1F903EFC"/>
    <w:rsid w:val="20DD2ECA"/>
    <w:rsid w:val="213D24B6"/>
    <w:rsid w:val="21B9043A"/>
    <w:rsid w:val="226237F3"/>
    <w:rsid w:val="22813DB4"/>
    <w:rsid w:val="22FA6D6E"/>
    <w:rsid w:val="23197A91"/>
    <w:rsid w:val="23BE1EBE"/>
    <w:rsid w:val="254F2E38"/>
    <w:rsid w:val="25B6018D"/>
    <w:rsid w:val="266F6CBA"/>
    <w:rsid w:val="272C0707"/>
    <w:rsid w:val="280B7BC3"/>
    <w:rsid w:val="29946A38"/>
    <w:rsid w:val="2B393140"/>
    <w:rsid w:val="2C2A71DF"/>
    <w:rsid w:val="2CB77816"/>
    <w:rsid w:val="2D077E6B"/>
    <w:rsid w:val="2D62214D"/>
    <w:rsid w:val="2DB657EE"/>
    <w:rsid w:val="30BC6FA0"/>
    <w:rsid w:val="30FD4EC2"/>
    <w:rsid w:val="32696C66"/>
    <w:rsid w:val="32D814D9"/>
    <w:rsid w:val="344A6FB9"/>
    <w:rsid w:val="34515C51"/>
    <w:rsid w:val="348A43CA"/>
    <w:rsid w:val="34943F8C"/>
    <w:rsid w:val="349A10C0"/>
    <w:rsid w:val="34B40E55"/>
    <w:rsid w:val="34D81366"/>
    <w:rsid w:val="3552098C"/>
    <w:rsid w:val="357B28D6"/>
    <w:rsid w:val="35867B7C"/>
    <w:rsid w:val="35BE5539"/>
    <w:rsid w:val="360F18B9"/>
    <w:rsid w:val="364E3013"/>
    <w:rsid w:val="37196EDA"/>
    <w:rsid w:val="38545D10"/>
    <w:rsid w:val="39270527"/>
    <w:rsid w:val="3AF570B5"/>
    <w:rsid w:val="3C495016"/>
    <w:rsid w:val="3E1F1BCC"/>
    <w:rsid w:val="3E6F38A3"/>
    <w:rsid w:val="42734FE4"/>
    <w:rsid w:val="427755DD"/>
    <w:rsid w:val="42B836C3"/>
    <w:rsid w:val="43052A9E"/>
    <w:rsid w:val="43454BD3"/>
    <w:rsid w:val="434E4137"/>
    <w:rsid w:val="436061C7"/>
    <w:rsid w:val="437D25BE"/>
    <w:rsid w:val="43EE526A"/>
    <w:rsid w:val="44B55581"/>
    <w:rsid w:val="4513485D"/>
    <w:rsid w:val="45643BAB"/>
    <w:rsid w:val="458E38F9"/>
    <w:rsid w:val="45AE6E8A"/>
    <w:rsid w:val="464B23E7"/>
    <w:rsid w:val="4651096A"/>
    <w:rsid w:val="477B4BD3"/>
    <w:rsid w:val="49627B61"/>
    <w:rsid w:val="4A5669C4"/>
    <w:rsid w:val="4B223A4B"/>
    <w:rsid w:val="4B926318"/>
    <w:rsid w:val="4BF12C35"/>
    <w:rsid w:val="4C7C4B97"/>
    <w:rsid w:val="4D461ADC"/>
    <w:rsid w:val="4D5F2D35"/>
    <w:rsid w:val="4E2773C5"/>
    <w:rsid w:val="4E6C105F"/>
    <w:rsid w:val="4F5434AE"/>
    <w:rsid w:val="4FFA30B3"/>
    <w:rsid w:val="4FFA4F97"/>
    <w:rsid w:val="506853AD"/>
    <w:rsid w:val="51A0391C"/>
    <w:rsid w:val="52214528"/>
    <w:rsid w:val="52715898"/>
    <w:rsid w:val="528F19C6"/>
    <w:rsid w:val="539D6365"/>
    <w:rsid w:val="53F92DE6"/>
    <w:rsid w:val="55D02A22"/>
    <w:rsid w:val="56EF6ED8"/>
    <w:rsid w:val="575379B6"/>
    <w:rsid w:val="576C677A"/>
    <w:rsid w:val="57811AFA"/>
    <w:rsid w:val="579067FC"/>
    <w:rsid w:val="58262DCD"/>
    <w:rsid w:val="58294241"/>
    <w:rsid w:val="58DF37A3"/>
    <w:rsid w:val="597436C4"/>
    <w:rsid w:val="59CD1728"/>
    <w:rsid w:val="59D423B5"/>
    <w:rsid w:val="5B4524D0"/>
    <w:rsid w:val="5CEB117E"/>
    <w:rsid w:val="5D2E2824"/>
    <w:rsid w:val="5D724A7B"/>
    <w:rsid w:val="5EA12419"/>
    <w:rsid w:val="5EA93E10"/>
    <w:rsid w:val="5F7F1015"/>
    <w:rsid w:val="61676A2B"/>
    <w:rsid w:val="61F17CA8"/>
    <w:rsid w:val="62033E14"/>
    <w:rsid w:val="62A35132"/>
    <w:rsid w:val="63147CC6"/>
    <w:rsid w:val="63F947B7"/>
    <w:rsid w:val="6449399F"/>
    <w:rsid w:val="65291798"/>
    <w:rsid w:val="655B332F"/>
    <w:rsid w:val="66A575B3"/>
    <w:rsid w:val="679022BB"/>
    <w:rsid w:val="691C78D4"/>
    <w:rsid w:val="6A4D41E9"/>
    <w:rsid w:val="6B040620"/>
    <w:rsid w:val="6BAC3984"/>
    <w:rsid w:val="6BAC708B"/>
    <w:rsid w:val="6C816902"/>
    <w:rsid w:val="6CC076BC"/>
    <w:rsid w:val="6CDE41B2"/>
    <w:rsid w:val="6D2A0812"/>
    <w:rsid w:val="6DAF6403"/>
    <w:rsid w:val="70862203"/>
    <w:rsid w:val="71995F66"/>
    <w:rsid w:val="71FD4747"/>
    <w:rsid w:val="72D74F98"/>
    <w:rsid w:val="74D8759C"/>
    <w:rsid w:val="74E27C24"/>
    <w:rsid w:val="76500BBD"/>
    <w:rsid w:val="76A71125"/>
    <w:rsid w:val="77F2017E"/>
    <w:rsid w:val="789C797D"/>
    <w:rsid w:val="78EF290F"/>
    <w:rsid w:val="78F660B2"/>
    <w:rsid w:val="78F85C68"/>
    <w:rsid w:val="79065900"/>
    <w:rsid w:val="79404F19"/>
    <w:rsid w:val="79C913B2"/>
    <w:rsid w:val="7A7D6A9B"/>
    <w:rsid w:val="7E074257"/>
    <w:rsid w:val="7E2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kern w:val="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after="257" w:line="259" w:lineRule="auto"/>
      <w:ind w:left="329" w:hanging="10"/>
      <w:outlineLvl w:val="2"/>
    </w:pPr>
    <w:rPr>
      <w:rFonts w:ascii="微软雅黑" w:eastAsia="微软雅黑" w:hAnsi="微软雅黑" w:cs="微软雅黑"/>
      <w:kern w:val="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uiPriority w:val="1"/>
    <w:unhideWhenUsed/>
    <w:qFormat/>
    <w:pPr>
      <w:ind w:left="116"/>
    </w:pPr>
    <w:rPr>
      <w:rFonts w:ascii="华文宋体" w:eastAsia="华文宋体" w:hAnsi="华文宋体"/>
      <w:sz w:val="26"/>
      <w:szCs w:val="26"/>
    </w:rPr>
  </w:style>
  <w:style w:type="paragraph" w:styleId="a5">
    <w:name w:val="Subtitle"/>
    <w:basedOn w:val="a"/>
    <w:next w:val="a"/>
    <w:qFormat/>
    <w:pPr>
      <w:adjustRightInd w:val="0"/>
      <w:snapToGrid w:val="0"/>
      <w:spacing w:line="360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semiHidden/>
    <w:unhideWhenUsed/>
    <w:qFormat/>
    <w:rPr>
      <w:rFonts w:ascii="Times New Roman" w:eastAsia="宋体" w:hAnsi="Times New Roman" w:cs="Times New Roman"/>
      <w:color w:val="0000FF"/>
      <w:u w:val="single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Calibri" w:eastAsiaTheme="minorEastAsia" w:hAnsi="Calibri" w:cs="Calibri"/>
      <w:b/>
      <w:color w:val="000000"/>
      <w:sz w:val="21"/>
      <w:szCs w:val="21"/>
      <w:u w:val="none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01">
    <w:name w:val="0标1"/>
    <w:basedOn w:val="1"/>
    <w:qFormat/>
    <w:pPr>
      <w:jc w:val="center"/>
    </w:pPr>
    <w:rPr>
      <w:rFonts w:ascii="Times New Roman" w:eastAsia="黑体" w:hAnsi="Times New Roman"/>
      <w:color w:val="000000" w:themeColor="text1"/>
      <w:kern w:val="0"/>
      <w:sz w:val="36"/>
      <w:szCs w:val="36"/>
    </w:rPr>
  </w:style>
  <w:style w:type="paragraph" w:customStyle="1" w:styleId="03">
    <w:name w:val="0章3"/>
    <w:basedOn w:val="a"/>
    <w:qFormat/>
    <w:pPr>
      <w:spacing w:beforeLines="50" w:before="120" w:afterLines="50" w:after="120" w:line="400" w:lineRule="exact"/>
      <w:jc w:val="center"/>
    </w:pPr>
    <w:rPr>
      <w:rFonts w:ascii="Times New Roman" w:eastAsia="黑体" w:hAnsi="Times New Roman" w:cs="Times New Roman"/>
      <w:color w:val="000000" w:themeColor="text1"/>
      <w:sz w:val="28"/>
      <w:szCs w:val="28"/>
    </w:rPr>
  </w:style>
  <w:style w:type="paragraph" w:customStyle="1" w:styleId="04">
    <w:name w:val="0正4"/>
    <w:basedOn w:val="a"/>
    <w:qFormat/>
    <w:pPr>
      <w:spacing w:line="400" w:lineRule="exact"/>
      <w:ind w:firstLineChars="200" w:firstLine="480"/>
    </w:pPr>
    <w:rPr>
      <w:rFonts w:ascii="Times New Roman" w:eastAsia="宋体" w:hAnsi="Times New Roman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libri Light" w:eastAsia="宋体" w:hAnsi="Calibri Light" w:cs="Times New Roman"/>
      <w:b/>
      <w:bCs/>
      <w:kern w:val="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after="257" w:line="259" w:lineRule="auto"/>
      <w:ind w:left="329" w:hanging="10"/>
      <w:outlineLvl w:val="2"/>
    </w:pPr>
    <w:rPr>
      <w:rFonts w:ascii="微软雅黑" w:eastAsia="微软雅黑" w:hAnsi="微软雅黑" w:cs="微软雅黑"/>
      <w:kern w:val="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uiPriority w:val="1"/>
    <w:unhideWhenUsed/>
    <w:qFormat/>
    <w:pPr>
      <w:ind w:left="116"/>
    </w:pPr>
    <w:rPr>
      <w:rFonts w:ascii="华文宋体" w:eastAsia="华文宋体" w:hAnsi="华文宋体"/>
      <w:sz w:val="26"/>
      <w:szCs w:val="26"/>
    </w:rPr>
  </w:style>
  <w:style w:type="paragraph" w:styleId="a5">
    <w:name w:val="Subtitle"/>
    <w:basedOn w:val="a"/>
    <w:next w:val="a"/>
    <w:qFormat/>
    <w:pPr>
      <w:adjustRightInd w:val="0"/>
      <w:snapToGrid w:val="0"/>
      <w:spacing w:line="360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qFormat/>
    <w:pPr>
      <w:ind w:left="210"/>
      <w:jc w:val="left"/>
    </w:pPr>
    <w:rPr>
      <w:smallCaps/>
      <w:sz w:val="20"/>
      <w:szCs w:val="20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rFonts w:ascii="Times New Roman" w:eastAsia="宋体" w:hAnsi="Times New Roman" w:cs="Times New Roman"/>
      <w:b/>
      <w:bCs/>
    </w:rPr>
  </w:style>
  <w:style w:type="character" w:styleId="ab">
    <w:name w:val="page number"/>
    <w:uiPriority w:val="99"/>
    <w:qFormat/>
    <w:rPr>
      <w:rFonts w:cs="Times New Roman"/>
    </w:rPr>
  </w:style>
  <w:style w:type="character" w:styleId="ac">
    <w:name w:val="Hyperlink"/>
    <w:uiPriority w:val="99"/>
    <w:semiHidden/>
    <w:unhideWhenUsed/>
    <w:qFormat/>
    <w:rPr>
      <w:rFonts w:ascii="Times New Roman" w:eastAsia="宋体" w:hAnsi="Times New Roman" w:cs="Times New Roman"/>
      <w:color w:val="0000FF"/>
      <w:u w:val="single"/>
    </w:rPr>
  </w:style>
  <w:style w:type="paragraph" w:styleId="ad">
    <w:name w:val="List Paragraph"/>
    <w:basedOn w:val="a"/>
    <w:uiPriority w:val="34"/>
    <w:unhideWhenUsed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Calibri" w:eastAsiaTheme="minorEastAsia" w:hAnsi="Calibri" w:cs="Calibri"/>
      <w:b/>
      <w:color w:val="000000"/>
      <w:sz w:val="21"/>
      <w:szCs w:val="21"/>
      <w:u w:val="none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01">
    <w:name w:val="0标1"/>
    <w:basedOn w:val="1"/>
    <w:qFormat/>
    <w:pPr>
      <w:jc w:val="center"/>
    </w:pPr>
    <w:rPr>
      <w:rFonts w:ascii="Times New Roman" w:eastAsia="黑体" w:hAnsi="Times New Roman"/>
      <w:color w:val="000000" w:themeColor="text1"/>
      <w:kern w:val="0"/>
      <w:sz w:val="36"/>
      <w:szCs w:val="36"/>
    </w:rPr>
  </w:style>
  <w:style w:type="paragraph" w:customStyle="1" w:styleId="03">
    <w:name w:val="0章3"/>
    <w:basedOn w:val="a"/>
    <w:qFormat/>
    <w:pPr>
      <w:spacing w:beforeLines="50" w:before="120" w:afterLines="50" w:after="120" w:line="400" w:lineRule="exact"/>
      <w:jc w:val="center"/>
    </w:pPr>
    <w:rPr>
      <w:rFonts w:ascii="Times New Roman" w:eastAsia="黑体" w:hAnsi="Times New Roman" w:cs="Times New Roman"/>
      <w:color w:val="000000" w:themeColor="text1"/>
      <w:sz w:val="28"/>
      <w:szCs w:val="28"/>
    </w:rPr>
  </w:style>
  <w:style w:type="paragraph" w:customStyle="1" w:styleId="04">
    <w:name w:val="0正4"/>
    <w:basedOn w:val="a"/>
    <w:qFormat/>
    <w:pPr>
      <w:spacing w:line="400" w:lineRule="exact"/>
      <w:ind w:firstLineChars="200" w:firstLine="480"/>
    </w:pPr>
    <w:rPr>
      <w:rFonts w:ascii="Times New Roman" w:eastAsia="宋体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Administrator</cp:lastModifiedBy>
  <cp:revision>3</cp:revision>
  <dcterms:created xsi:type="dcterms:W3CDTF">2023-11-17T02:32:00Z</dcterms:created>
  <dcterms:modified xsi:type="dcterms:W3CDTF">2024-11-07T01:25:00Z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